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6C2D5F">
      <w:pPr>
        <w:adjustRightInd w:val="0"/>
        <w:snapToGrid w:val="0"/>
        <w:spacing w:after="120" w:afterLines="50" w:line="520" w:lineRule="exact"/>
        <w:rPr>
          <w:rFonts w:ascii="仿宋" w:hAnsi="仿宋" w:eastAsia="仿宋"/>
          <w:sz w:val="28"/>
          <w:szCs w:val="28"/>
        </w:rPr>
      </w:pPr>
      <w:r>
        <w:rPr>
          <w:rFonts w:hint="eastAsia" w:ascii="仿宋" w:hAnsi="仿宋" w:eastAsia="仿宋" w:cs="仿宋"/>
          <w:sz w:val="32"/>
          <w:szCs w:val="32"/>
        </w:rPr>
        <w:t>附件1：</w:t>
      </w:r>
    </w:p>
    <w:p w14:paraId="39860C4E">
      <w:pPr>
        <w:spacing w:line="580" w:lineRule="exact"/>
        <w:jc w:val="center"/>
        <w:rPr>
          <w:rFonts w:ascii="黑体" w:hAnsi="黑体" w:eastAsia="黑体" w:cs="仿宋"/>
          <w:sz w:val="44"/>
          <w:szCs w:val="44"/>
        </w:rPr>
      </w:pPr>
      <w:r>
        <w:rPr>
          <w:rFonts w:hint="eastAsia" w:ascii="黑体" w:hAnsi="黑体" w:eastAsia="黑体" w:cs="仿宋"/>
          <w:sz w:val="44"/>
          <w:szCs w:val="44"/>
        </w:rPr>
        <w:t>长春理工大学第七届智慧课堂教学创新大赛暨第二十届教师讲课比赛实施方案</w:t>
      </w:r>
    </w:p>
    <w:p w14:paraId="53BD8158">
      <w:pPr>
        <w:spacing w:line="580" w:lineRule="exact"/>
        <w:jc w:val="center"/>
        <w:rPr>
          <w:rFonts w:ascii="黑体" w:hAnsi="黑体" w:eastAsia="黑体" w:cs="仿宋"/>
          <w:sz w:val="44"/>
          <w:szCs w:val="44"/>
        </w:rPr>
      </w:pPr>
    </w:p>
    <w:p w14:paraId="050614DE">
      <w:pPr>
        <w:spacing w:before="120" w:beforeLines="50" w:after="120" w:afterLines="50" w:line="300" w:lineRule="auto"/>
        <w:ind w:firstLine="640" w:firstLineChars="200"/>
        <w:rPr>
          <w:rFonts w:ascii="黑体" w:hAnsi="黑体" w:eastAsia="黑体" w:cs="黑体"/>
          <w:sz w:val="32"/>
          <w:szCs w:val="32"/>
        </w:rPr>
      </w:pPr>
      <w:r>
        <w:rPr>
          <w:rFonts w:hint="eastAsia" w:ascii="黑体" w:hAnsi="黑体" w:eastAsia="黑体" w:cs="黑体"/>
          <w:sz w:val="32"/>
          <w:szCs w:val="32"/>
        </w:rPr>
        <w:t>一、大赛内容</w:t>
      </w:r>
    </w:p>
    <w:p w14:paraId="5B1AAFE5">
      <w:pPr>
        <w:spacing w:line="300" w:lineRule="auto"/>
        <w:ind w:firstLine="600" w:firstLineChars="200"/>
        <w:rPr>
          <w:rFonts w:ascii="黑体" w:hAnsi="黑体" w:eastAsia="黑体" w:cs="黑体"/>
          <w:sz w:val="30"/>
          <w:szCs w:val="30"/>
        </w:rPr>
      </w:pPr>
      <w:r>
        <w:rPr>
          <w:rFonts w:hint="eastAsia" w:ascii="黑体" w:hAnsi="黑体" w:eastAsia="黑体" w:cs="黑体"/>
          <w:sz w:val="30"/>
          <w:szCs w:val="30"/>
        </w:rPr>
        <w:t>（一）校赛</w:t>
      </w:r>
    </w:p>
    <w:p w14:paraId="15CF3E7B">
      <w:pPr>
        <w:spacing w:line="300" w:lineRule="auto"/>
        <w:ind w:firstLine="640" w:firstLineChars="200"/>
        <w:rPr>
          <w:rFonts w:ascii="Times New Roman" w:hAnsi="Times New Roman" w:eastAsia="仿宋" w:cs="仿宋"/>
          <w:sz w:val="32"/>
          <w:szCs w:val="32"/>
        </w:rPr>
      </w:pPr>
      <w:r>
        <w:rPr>
          <w:rFonts w:hint="eastAsia" w:ascii="Times New Roman" w:hAnsi="Times New Roman" w:eastAsia="仿宋" w:cs="仿宋"/>
          <w:sz w:val="32"/>
          <w:szCs w:val="32"/>
        </w:rPr>
        <w:t>1. 课堂教学</w:t>
      </w:r>
    </w:p>
    <w:p w14:paraId="19035AF0">
      <w:pPr>
        <w:spacing w:line="300" w:lineRule="auto"/>
        <w:ind w:firstLine="640" w:firstLineChars="200"/>
        <w:rPr>
          <w:rFonts w:ascii="Times New Roman" w:hAnsi="Times New Roman" w:eastAsia="仿宋" w:cs="仿宋"/>
          <w:sz w:val="32"/>
          <w:szCs w:val="32"/>
        </w:rPr>
      </w:pPr>
      <w:r>
        <w:rPr>
          <w:rFonts w:hint="eastAsia" w:ascii="Times New Roman" w:hAnsi="Times New Roman" w:eastAsia="仿宋" w:cs="仿宋"/>
          <w:sz w:val="32"/>
          <w:szCs w:val="32"/>
        </w:rPr>
        <w:t>（1）参赛教师结合教学大纲与教学实践，进行15分钟课堂教学，评审专家进行5分钟点评。</w:t>
      </w:r>
    </w:p>
    <w:p w14:paraId="400E2A68">
      <w:pPr>
        <w:spacing w:line="300" w:lineRule="auto"/>
        <w:ind w:firstLine="640" w:firstLineChars="200"/>
        <w:rPr>
          <w:rFonts w:ascii="Times New Roman" w:hAnsi="Times New Roman" w:eastAsia="仿宋" w:cs="仿宋"/>
          <w:sz w:val="32"/>
          <w:szCs w:val="32"/>
        </w:rPr>
      </w:pPr>
      <w:r>
        <w:rPr>
          <w:rFonts w:hint="eastAsia" w:ascii="Times New Roman" w:hAnsi="Times New Roman" w:eastAsia="仿宋" w:cs="仿宋"/>
          <w:sz w:val="32"/>
          <w:szCs w:val="32"/>
        </w:rPr>
        <w:t>（2）评分标准依据《全国高校教师教学创新大赛评分标准》（附件2），课堂教学80分，教学创新成果报告20分，满分100分。</w:t>
      </w:r>
    </w:p>
    <w:p w14:paraId="34C9712A">
      <w:pPr>
        <w:spacing w:line="300" w:lineRule="auto"/>
        <w:ind w:firstLine="640" w:firstLineChars="200"/>
        <w:rPr>
          <w:rFonts w:ascii="Times New Roman" w:hAnsi="Times New Roman" w:eastAsia="仿宋" w:cs="仿宋"/>
          <w:sz w:val="32"/>
          <w:szCs w:val="32"/>
        </w:rPr>
      </w:pPr>
      <w:r>
        <w:rPr>
          <w:rFonts w:hint="eastAsia" w:ascii="Times New Roman" w:hAnsi="Times New Roman" w:eastAsia="仿宋" w:cs="仿宋"/>
          <w:sz w:val="32"/>
          <w:szCs w:val="32"/>
        </w:rPr>
        <w:t>2. 创新成果报告</w:t>
      </w:r>
    </w:p>
    <w:p w14:paraId="2F07316D">
      <w:pPr>
        <w:spacing w:line="300" w:lineRule="auto"/>
        <w:ind w:firstLine="640" w:firstLineChars="200"/>
        <w:rPr>
          <w:rFonts w:ascii="Times New Roman" w:hAnsi="Times New Roman" w:eastAsia="仿宋" w:cs="仿宋"/>
          <w:sz w:val="32"/>
          <w:szCs w:val="32"/>
        </w:rPr>
      </w:pPr>
      <w:r>
        <w:rPr>
          <w:rFonts w:hint="eastAsia" w:ascii="Times New Roman" w:hAnsi="Times New Roman" w:eastAsia="仿宋" w:cs="仿宋"/>
          <w:sz w:val="32"/>
          <w:szCs w:val="32"/>
        </w:rPr>
        <w:t>（1）按照分组，新工科、新文科、基础课程赛道的参赛教师应准备教学创新成果报告，课程思政、产教融合、人工智能、实验教学赛道的参赛教师应准备创新成果报告。</w:t>
      </w:r>
    </w:p>
    <w:p w14:paraId="41FFDBEB">
      <w:pPr>
        <w:spacing w:line="300" w:lineRule="auto"/>
        <w:ind w:firstLine="640" w:firstLineChars="200"/>
        <w:rPr>
          <w:rFonts w:ascii="Times New Roman" w:hAnsi="Times New Roman" w:eastAsia="仿宋" w:cs="仿宋"/>
          <w:sz w:val="32"/>
          <w:szCs w:val="32"/>
        </w:rPr>
      </w:pPr>
      <w:r>
        <w:rPr>
          <w:rFonts w:hint="eastAsia" w:ascii="Times New Roman" w:hAnsi="Times New Roman" w:eastAsia="仿宋" w:cs="仿宋"/>
          <w:sz w:val="32"/>
          <w:szCs w:val="32"/>
        </w:rPr>
        <w:t>（2）创新成果报告的内涵</w:t>
      </w:r>
    </w:p>
    <w:p w14:paraId="0FA49E7D">
      <w:pPr>
        <w:spacing w:line="300" w:lineRule="auto"/>
        <w:ind w:firstLine="640" w:firstLineChars="200"/>
        <w:rPr>
          <w:rFonts w:ascii="Times New Roman" w:hAnsi="Times New Roman" w:eastAsia="仿宋" w:cs="仿宋"/>
          <w:sz w:val="32"/>
          <w:szCs w:val="32"/>
        </w:rPr>
      </w:pPr>
      <w:r>
        <w:rPr>
          <w:rFonts w:hint="eastAsia" w:ascii="Times New Roman" w:hAnsi="Times New Roman" w:eastAsia="仿宋" w:cs="仿宋"/>
          <w:sz w:val="32"/>
          <w:szCs w:val="32"/>
        </w:rPr>
        <w:t>教学创新成果报告应基于参赛课程的教学实践经验与反思，体现课程教学的创新举措、过程与成效。聚焦教学实践的“真实问题”，通过课程内容的重构、教学方法的创新、教学环境的创设、教学评价的改革等，采用教学实验研究的范式解决教学问题，明确教学成效及其推广价值。</w:t>
      </w:r>
    </w:p>
    <w:p w14:paraId="3960EC44">
      <w:pPr>
        <w:spacing w:line="300" w:lineRule="auto"/>
        <w:ind w:firstLine="640" w:firstLineChars="200"/>
        <w:rPr>
          <w:rFonts w:ascii="Times New Roman" w:hAnsi="Times New Roman" w:eastAsia="仿宋" w:cs="仿宋"/>
          <w:sz w:val="32"/>
          <w:szCs w:val="32"/>
        </w:rPr>
      </w:pPr>
      <w:r>
        <w:rPr>
          <w:rFonts w:hint="eastAsia" w:ascii="Times New Roman" w:hAnsi="Times New Roman" w:eastAsia="仿宋" w:cs="仿宋"/>
          <w:sz w:val="32"/>
          <w:szCs w:val="32"/>
        </w:rPr>
        <w:t>课程思政创新成果报告应立足于学科专业的育人特点和要求，发现和解决本课程开展课程思政教学过程中的“真实问题”。</w:t>
      </w:r>
    </w:p>
    <w:p w14:paraId="5654B1C9">
      <w:pPr>
        <w:spacing w:line="300" w:lineRule="auto"/>
        <w:ind w:firstLine="640" w:firstLineChars="200"/>
        <w:rPr>
          <w:rFonts w:ascii="Times New Roman" w:hAnsi="Times New Roman" w:eastAsia="仿宋" w:cs="仿宋"/>
          <w:sz w:val="32"/>
          <w:szCs w:val="32"/>
        </w:rPr>
      </w:pPr>
      <w:r>
        <w:rPr>
          <w:rFonts w:hint="eastAsia" w:ascii="Times New Roman" w:hAnsi="Times New Roman" w:eastAsia="仿宋" w:cs="仿宋"/>
          <w:sz w:val="32"/>
          <w:szCs w:val="32"/>
        </w:rPr>
        <w:t>产教融合创新成果报告应密切围绕高校与社会或行业企业主动合作、人才培养规格与产业需求、学科专业结构与区域发展、组织模式创新与教学模式改革等产教融合方面的内容，以教学研究的范式，聚焦教学实践中的“真实问题”，通过课程内容的重构、教学方法的创新、教学环境的创设、教学评价的改革、师资队伍的建设、协同办学的机制等，解决教学问题，明确教学成效及其推广价值。</w:t>
      </w:r>
    </w:p>
    <w:p w14:paraId="00BD0643">
      <w:pPr>
        <w:spacing w:line="300" w:lineRule="auto"/>
        <w:ind w:firstLine="640" w:firstLineChars="200"/>
        <w:rPr>
          <w:rFonts w:ascii="Times New Roman" w:hAnsi="Times New Roman" w:eastAsia="仿宋" w:cs="仿宋"/>
          <w:sz w:val="32"/>
          <w:szCs w:val="32"/>
        </w:rPr>
      </w:pPr>
      <w:r>
        <w:rPr>
          <w:rFonts w:ascii="Times New Roman" w:hAnsi="Times New Roman" w:eastAsia="仿宋" w:cs="仿宋"/>
          <w:sz w:val="32"/>
          <w:szCs w:val="32"/>
        </w:rPr>
        <w:t>人工智能创新成果报告应立足新时代人才培养与课程建设目标，聚焦真挑战与真问题，紧扣</w:t>
      </w:r>
      <w:r>
        <w:rPr>
          <w:rFonts w:hint="eastAsia" w:ascii="Times New Roman" w:hAnsi="Times New Roman" w:eastAsia="仿宋" w:cs="仿宋"/>
          <w:sz w:val="32"/>
          <w:szCs w:val="32"/>
        </w:rPr>
        <w:t>“</w:t>
      </w:r>
      <w:r>
        <w:rPr>
          <w:rFonts w:ascii="Times New Roman" w:hAnsi="Times New Roman" w:eastAsia="仿宋" w:cs="仿宋"/>
          <w:sz w:val="32"/>
          <w:szCs w:val="32"/>
        </w:rPr>
        <w:t>以学生为中心</w:t>
      </w:r>
      <w:r>
        <w:rPr>
          <w:rFonts w:hint="eastAsia" w:ascii="Times New Roman" w:hAnsi="Times New Roman" w:eastAsia="仿宋" w:cs="仿宋"/>
          <w:sz w:val="32"/>
          <w:szCs w:val="32"/>
        </w:rPr>
        <w:t>”“</w:t>
      </w:r>
      <w:r>
        <w:rPr>
          <w:rFonts w:ascii="Times New Roman" w:hAnsi="Times New Roman" w:eastAsia="仿宋" w:cs="仿宋"/>
          <w:sz w:val="32"/>
          <w:szCs w:val="32"/>
        </w:rPr>
        <w:t>人机协作</w:t>
      </w:r>
      <w:r>
        <w:rPr>
          <w:rFonts w:hint="eastAsia" w:ascii="Times New Roman" w:hAnsi="Times New Roman" w:eastAsia="仿宋" w:cs="仿宋"/>
          <w:sz w:val="32"/>
          <w:szCs w:val="32"/>
        </w:rPr>
        <w:t>”</w:t>
      </w:r>
      <w:r>
        <w:rPr>
          <w:rFonts w:ascii="Times New Roman" w:hAnsi="Times New Roman" w:eastAsia="仿宋" w:cs="仿宋"/>
          <w:sz w:val="32"/>
          <w:szCs w:val="32"/>
        </w:rPr>
        <w:t>等核心理念，重点呈现人工智能技术对教学模式的系统性赋能。报告需详细介绍人工智能技术深度应用如何推动教学内容、方法、环境与评价的整体重构，或重点剖析具有显著创新特征的教学环节</w:t>
      </w:r>
      <w:r>
        <w:rPr>
          <w:rFonts w:hint="eastAsia" w:ascii="Times New Roman" w:hAnsi="Times New Roman" w:eastAsia="仿宋" w:cs="仿宋"/>
          <w:sz w:val="32"/>
          <w:szCs w:val="32"/>
        </w:rPr>
        <w:t>；</w:t>
      </w:r>
      <w:r>
        <w:rPr>
          <w:rFonts w:ascii="Times New Roman" w:hAnsi="Times New Roman" w:eastAsia="仿宋" w:cs="仿宋"/>
          <w:sz w:val="32"/>
          <w:szCs w:val="32"/>
        </w:rPr>
        <w:t>提供可验证的客观证据或对比数据，清晰展示人工智能技术在提升学生专业能力、创新思维、数字素养与伦理认知等方面的实际效果，同时明确相关数据治理、学术诚信与安全合规等安排；最终，应提炼出可复制、可推广的</w:t>
      </w:r>
      <w:r>
        <w:rPr>
          <w:rFonts w:hint="eastAsia" w:ascii="Times New Roman" w:hAnsi="Times New Roman" w:eastAsia="仿宋" w:cs="仿宋"/>
          <w:sz w:val="32"/>
          <w:szCs w:val="32"/>
        </w:rPr>
        <w:t>“</w:t>
      </w:r>
      <w:r>
        <w:rPr>
          <w:rFonts w:ascii="Times New Roman" w:hAnsi="Times New Roman" w:eastAsia="仿宋" w:cs="仿宋"/>
          <w:sz w:val="32"/>
          <w:szCs w:val="32"/>
        </w:rPr>
        <w:t>人工智能+</w:t>
      </w:r>
      <w:r>
        <w:rPr>
          <w:rFonts w:hint="eastAsia" w:ascii="Times New Roman" w:hAnsi="Times New Roman" w:eastAsia="仿宋" w:cs="仿宋"/>
          <w:sz w:val="32"/>
          <w:szCs w:val="32"/>
        </w:rPr>
        <w:t>”</w:t>
      </w:r>
      <w:r>
        <w:rPr>
          <w:rFonts w:ascii="Times New Roman" w:hAnsi="Times New Roman" w:eastAsia="仿宋" w:cs="仿宋"/>
          <w:sz w:val="32"/>
          <w:szCs w:val="32"/>
        </w:rPr>
        <w:t>教学创新模式，配套提供清晰的实施流程、工具链支持及量化评价指标。</w:t>
      </w:r>
    </w:p>
    <w:p w14:paraId="764A8BC5">
      <w:pPr>
        <w:spacing w:line="300" w:lineRule="auto"/>
        <w:ind w:firstLine="640" w:firstLineChars="200"/>
        <w:rPr>
          <w:rFonts w:ascii="Times New Roman" w:hAnsi="Times New Roman" w:eastAsia="仿宋" w:cs="仿宋"/>
          <w:sz w:val="32"/>
          <w:szCs w:val="32"/>
        </w:rPr>
      </w:pPr>
      <w:r>
        <w:rPr>
          <w:rFonts w:ascii="Times New Roman" w:hAnsi="Times New Roman" w:eastAsia="仿宋" w:cs="仿宋"/>
          <w:sz w:val="32"/>
          <w:szCs w:val="32"/>
        </w:rPr>
        <w:t>实验教学创新成果报告应锚定专业人才培养目标，聚焦学生核心能力体系的系统构建与持续进阶，系统阐述参赛课程在教学内容、教学方法、教学组织与考核评价等方面的创新举措，重点阐述参赛课程在组织开展能力导向和问题驱动式教学方面的创新特色，突出参赛课程的高阶性、创新性与挑战度，着力展现人工智能等新技术赋能下，实验教学在学生能力培养上所形成的体系化设计、数字化赋能、跨学科融合、及个性化发展的育人新模式。</w:t>
      </w:r>
    </w:p>
    <w:p w14:paraId="7A7DBA02">
      <w:pPr>
        <w:spacing w:line="300" w:lineRule="auto"/>
        <w:ind w:firstLine="640" w:firstLineChars="200"/>
        <w:rPr>
          <w:rFonts w:ascii="Times New Roman" w:hAnsi="Times New Roman" w:eastAsia="仿宋" w:cs="仿宋"/>
          <w:sz w:val="32"/>
          <w:szCs w:val="32"/>
        </w:rPr>
      </w:pPr>
      <w:r>
        <w:rPr>
          <w:rFonts w:hint="eastAsia" w:ascii="Times New Roman" w:hAnsi="Times New Roman" w:eastAsia="仿宋" w:cs="仿宋"/>
          <w:sz w:val="32"/>
          <w:szCs w:val="32"/>
        </w:rPr>
        <w:t>（3）创新成果报告应包括摘要、正文、支撑材料，报告正文字数 4000 字左右为宜。</w:t>
      </w:r>
    </w:p>
    <w:p w14:paraId="4455E3F3">
      <w:pPr>
        <w:spacing w:line="300" w:lineRule="auto"/>
        <w:ind w:firstLine="640" w:firstLineChars="200"/>
        <w:rPr>
          <w:rFonts w:ascii="Times New Roman" w:hAnsi="Times New Roman" w:eastAsia="仿宋" w:cs="仿宋"/>
          <w:sz w:val="32"/>
          <w:szCs w:val="32"/>
        </w:rPr>
      </w:pPr>
      <w:r>
        <w:rPr>
          <w:rFonts w:hint="eastAsia" w:ascii="Times New Roman" w:hAnsi="Times New Roman" w:eastAsia="仿宋" w:cs="仿宋"/>
          <w:sz w:val="32"/>
          <w:szCs w:val="32"/>
        </w:rPr>
        <w:t>3.</w:t>
      </w:r>
      <w:r>
        <w:rPr>
          <w:rFonts w:ascii="Times New Roman" w:hAnsi="Times New Roman" w:eastAsia="仿宋" w:cs="仿宋"/>
          <w:sz w:val="32"/>
          <w:szCs w:val="32"/>
        </w:rPr>
        <w:t xml:space="preserve"> </w:t>
      </w:r>
      <w:r>
        <w:rPr>
          <w:rFonts w:hint="eastAsia" w:ascii="Times New Roman" w:hAnsi="Times New Roman" w:eastAsia="仿宋" w:cs="仿宋"/>
          <w:sz w:val="32"/>
          <w:szCs w:val="32"/>
        </w:rPr>
        <w:t>课堂教学PPT现场调试时报送，PPT设置比例为16:9。赛前统一调试设备及抽签确认比赛顺序。</w:t>
      </w:r>
    </w:p>
    <w:p w14:paraId="2E16B99F">
      <w:pPr>
        <w:spacing w:line="300" w:lineRule="auto"/>
        <w:ind w:firstLine="600" w:firstLineChars="200"/>
        <w:rPr>
          <w:rFonts w:ascii="黑体" w:hAnsi="黑体" w:eastAsia="黑体" w:cs="黑体"/>
          <w:sz w:val="30"/>
          <w:szCs w:val="30"/>
        </w:rPr>
      </w:pPr>
      <w:r>
        <w:rPr>
          <w:rFonts w:hint="eastAsia" w:ascii="黑体" w:hAnsi="黑体" w:eastAsia="黑体" w:cs="黑体"/>
          <w:sz w:val="30"/>
          <w:szCs w:val="30"/>
        </w:rPr>
        <w:t>（二）省赛选拔赛</w:t>
      </w:r>
    </w:p>
    <w:p w14:paraId="56C789FF">
      <w:pPr>
        <w:spacing w:line="300" w:lineRule="auto"/>
        <w:ind w:firstLine="640" w:firstLineChars="200"/>
        <w:rPr>
          <w:rFonts w:ascii="Times New Roman" w:hAnsi="Times New Roman" w:eastAsia="仿宋" w:cs="仿宋"/>
          <w:sz w:val="32"/>
          <w:szCs w:val="32"/>
        </w:rPr>
      </w:pPr>
      <w:r>
        <w:rPr>
          <w:rFonts w:hint="eastAsia" w:ascii="Times New Roman" w:hAnsi="Times New Roman" w:eastAsia="仿宋" w:cs="仿宋"/>
          <w:sz w:val="32"/>
          <w:szCs w:val="32"/>
        </w:rPr>
        <w:t>1. 比赛内容与校赛相同。</w:t>
      </w:r>
    </w:p>
    <w:p w14:paraId="5E920F21">
      <w:pPr>
        <w:spacing w:line="300" w:lineRule="auto"/>
        <w:ind w:firstLine="640" w:firstLineChars="200"/>
        <w:rPr>
          <w:rFonts w:ascii="Times New Roman" w:hAnsi="Times New Roman" w:eastAsia="仿宋" w:cs="仿宋"/>
          <w:sz w:val="32"/>
          <w:szCs w:val="32"/>
        </w:rPr>
      </w:pPr>
      <w:r>
        <w:rPr>
          <w:rFonts w:hint="eastAsia" w:ascii="Times New Roman" w:hAnsi="Times New Roman" w:eastAsia="仿宋" w:cs="仿宋"/>
          <w:sz w:val="32"/>
          <w:szCs w:val="32"/>
        </w:rPr>
        <w:t>2. 省赛选拔赛通知，待省里通知下达后立即发布，请参赛教师提前做好充足备赛准备。</w:t>
      </w:r>
    </w:p>
    <w:p w14:paraId="5AAAC70F">
      <w:pPr>
        <w:spacing w:before="120" w:beforeLines="50" w:after="120" w:afterLines="50" w:line="300" w:lineRule="auto"/>
        <w:ind w:firstLine="640" w:firstLineChars="200"/>
        <w:rPr>
          <w:rFonts w:ascii="黑体" w:hAnsi="黑体" w:eastAsia="黑体" w:cs="黑体"/>
          <w:sz w:val="32"/>
          <w:szCs w:val="32"/>
        </w:rPr>
      </w:pPr>
      <w:r>
        <w:rPr>
          <w:rFonts w:hint="eastAsia" w:ascii="黑体" w:hAnsi="黑体" w:eastAsia="黑体" w:cs="黑体"/>
          <w:sz w:val="32"/>
          <w:szCs w:val="32"/>
        </w:rPr>
        <w:t>二、大赛分组</w:t>
      </w:r>
    </w:p>
    <w:p w14:paraId="30740147">
      <w:pPr>
        <w:spacing w:line="300" w:lineRule="auto"/>
        <w:ind w:firstLine="640" w:firstLineChars="200"/>
        <w:rPr>
          <w:rFonts w:ascii="Times New Roman" w:hAnsi="Times New Roman" w:eastAsia="仿宋" w:cs="仿宋"/>
          <w:sz w:val="32"/>
          <w:szCs w:val="32"/>
        </w:rPr>
      </w:pPr>
      <w:r>
        <w:rPr>
          <w:rFonts w:hint="eastAsia" w:ascii="Times New Roman" w:hAnsi="Times New Roman" w:eastAsia="仿宋" w:cs="仿宋"/>
          <w:sz w:val="32"/>
          <w:szCs w:val="32"/>
        </w:rPr>
        <w:t>大赛按照新工科、新文科、基础课程、课程思政、产教融合、人工智能、实验教学等领域设7个大组，按参赛教师专业技术职务等级分小组，具体分组如下：</w:t>
      </w:r>
    </w:p>
    <w:p w14:paraId="6D61BB60">
      <w:pPr>
        <w:spacing w:line="300" w:lineRule="auto"/>
        <w:ind w:firstLine="640" w:firstLineChars="200"/>
        <w:rPr>
          <w:rFonts w:ascii="Times New Roman" w:hAnsi="Times New Roman" w:eastAsia="仿宋" w:cs="仿宋"/>
          <w:sz w:val="32"/>
          <w:szCs w:val="32"/>
        </w:rPr>
      </w:pPr>
      <w:r>
        <w:rPr>
          <w:rFonts w:hint="eastAsia" w:ascii="Times New Roman" w:hAnsi="Times New Roman" w:eastAsia="仿宋" w:cs="仿宋"/>
          <w:sz w:val="32"/>
          <w:szCs w:val="32"/>
        </w:rPr>
        <w:t>第一组 新工科组（正高组、副高组、中级及以下组）；</w:t>
      </w:r>
    </w:p>
    <w:p w14:paraId="595E447A">
      <w:pPr>
        <w:spacing w:line="300" w:lineRule="auto"/>
        <w:ind w:firstLine="640" w:firstLineChars="200"/>
        <w:rPr>
          <w:rFonts w:ascii="Times New Roman" w:hAnsi="Times New Roman" w:eastAsia="仿宋" w:cs="仿宋"/>
          <w:sz w:val="32"/>
          <w:szCs w:val="32"/>
        </w:rPr>
      </w:pPr>
      <w:r>
        <w:rPr>
          <w:rFonts w:hint="eastAsia" w:ascii="Times New Roman" w:hAnsi="Times New Roman" w:eastAsia="仿宋" w:cs="仿宋"/>
          <w:sz w:val="32"/>
          <w:szCs w:val="32"/>
        </w:rPr>
        <w:t>第二组 新文科组（正高组、副高组、中级及以下组）；</w:t>
      </w:r>
    </w:p>
    <w:p w14:paraId="1075E273">
      <w:pPr>
        <w:spacing w:line="300" w:lineRule="auto"/>
        <w:ind w:firstLine="640" w:firstLineChars="200"/>
        <w:rPr>
          <w:rFonts w:ascii="Times New Roman" w:hAnsi="Times New Roman" w:eastAsia="仿宋" w:cs="仿宋"/>
          <w:sz w:val="32"/>
          <w:szCs w:val="32"/>
        </w:rPr>
      </w:pPr>
      <w:r>
        <w:rPr>
          <w:rFonts w:hint="eastAsia" w:ascii="Times New Roman" w:hAnsi="Times New Roman" w:eastAsia="仿宋" w:cs="仿宋"/>
          <w:sz w:val="32"/>
          <w:szCs w:val="32"/>
        </w:rPr>
        <w:t>第三组 基础课程组（正高组、副高组、中级及以下组）；</w:t>
      </w:r>
    </w:p>
    <w:p w14:paraId="157D1F5C">
      <w:pPr>
        <w:spacing w:line="300" w:lineRule="auto"/>
        <w:ind w:firstLine="640" w:firstLineChars="200"/>
        <w:rPr>
          <w:rFonts w:ascii="Times New Roman" w:hAnsi="Times New Roman" w:eastAsia="仿宋" w:cs="仿宋"/>
          <w:sz w:val="32"/>
          <w:szCs w:val="32"/>
        </w:rPr>
      </w:pPr>
      <w:r>
        <w:rPr>
          <w:rFonts w:hint="eastAsia" w:ascii="Times New Roman" w:hAnsi="Times New Roman" w:eastAsia="仿宋" w:cs="仿宋"/>
          <w:sz w:val="32"/>
          <w:szCs w:val="32"/>
        </w:rPr>
        <w:t>第四组 课程思政组（正高组、副高组、中级及以下组）；</w:t>
      </w:r>
    </w:p>
    <w:p w14:paraId="7A9A95EC">
      <w:pPr>
        <w:spacing w:line="300" w:lineRule="auto"/>
        <w:ind w:firstLine="640" w:firstLineChars="200"/>
        <w:rPr>
          <w:rFonts w:ascii="Times New Roman" w:hAnsi="Times New Roman" w:eastAsia="仿宋" w:cs="仿宋"/>
          <w:sz w:val="32"/>
          <w:szCs w:val="32"/>
        </w:rPr>
      </w:pPr>
      <w:r>
        <w:rPr>
          <w:rFonts w:hint="eastAsia" w:ascii="Times New Roman" w:hAnsi="Times New Roman" w:eastAsia="仿宋" w:cs="仿宋"/>
          <w:sz w:val="32"/>
          <w:szCs w:val="32"/>
        </w:rPr>
        <w:t>第五组 产教融合组；</w:t>
      </w:r>
    </w:p>
    <w:p w14:paraId="1D926024">
      <w:pPr>
        <w:spacing w:line="300" w:lineRule="auto"/>
        <w:ind w:firstLine="640" w:firstLineChars="200"/>
        <w:rPr>
          <w:rFonts w:ascii="Times New Roman" w:hAnsi="Times New Roman" w:eastAsia="仿宋" w:cs="仿宋"/>
          <w:sz w:val="32"/>
          <w:szCs w:val="32"/>
        </w:rPr>
      </w:pPr>
      <w:r>
        <w:rPr>
          <w:rFonts w:hint="eastAsia" w:ascii="Times New Roman" w:hAnsi="Times New Roman" w:eastAsia="仿宋" w:cs="仿宋"/>
          <w:sz w:val="32"/>
          <w:szCs w:val="32"/>
        </w:rPr>
        <w:t>第六组 人工智能组；</w:t>
      </w:r>
    </w:p>
    <w:p w14:paraId="5AFC8BB9">
      <w:pPr>
        <w:spacing w:line="300" w:lineRule="auto"/>
        <w:ind w:firstLine="640" w:firstLineChars="200"/>
        <w:rPr>
          <w:rFonts w:ascii="Times New Roman" w:hAnsi="Times New Roman" w:eastAsia="仿宋" w:cs="仿宋"/>
          <w:sz w:val="32"/>
          <w:szCs w:val="32"/>
        </w:rPr>
      </w:pPr>
      <w:r>
        <w:rPr>
          <w:rFonts w:hint="eastAsia" w:ascii="Times New Roman" w:hAnsi="Times New Roman" w:eastAsia="仿宋" w:cs="仿宋"/>
          <w:sz w:val="32"/>
          <w:szCs w:val="32"/>
        </w:rPr>
        <w:t>第七组 实验教学组（综合设计型、研究探索型）。</w:t>
      </w:r>
    </w:p>
    <w:p w14:paraId="43828DB3">
      <w:pPr>
        <w:spacing w:before="120" w:beforeLines="50" w:after="120" w:afterLines="50" w:line="300" w:lineRule="auto"/>
        <w:ind w:firstLine="640" w:firstLineChars="200"/>
        <w:rPr>
          <w:rFonts w:ascii="黑体" w:hAnsi="黑体" w:eastAsia="黑体" w:cs="黑体"/>
          <w:sz w:val="32"/>
          <w:szCs w:val="32"/>
        </w:rPr>
      </w:pPr>
      <w:r>
        <w:rPr>
          <w:rFonts w:hint="eastAsia" w:ascii="黑体" w:hAnsi="黑体" w:eastAsia="黑体" w:cs="黑体"/>
          <w:sz w:val="32"/>
          <w:szCs w:val="32"/>
        </w:rPr>
        <w:t>三、奖项设置</w:t>
      </w:r>
    </w:p>
    <w:p w14:paraId="612D1894">
      <w:pPr>
        <w:spacing w:line="300" w:lineRule="auto"/>
        <w:ind w:firstLine="640" w:firstLineChars="200"/>
        <w:rPr>
          <w:rFonts w:ascii="Times New Roman" w:hAnsi="Times New Roman" w:eastAsia="仿宋" w:cs="仿宋"/>
          <w:sz w:val="32"/>
          <w:szCs w:val="32"/>
        </w:rPr>
      </w:pPr>
      <w:r>
        <w:rPr>
          <w:rFonts w:hint="eastAsia" w:ascii="Times New Roman" w:hAnsi="Times New Roman" w:eastAsia="仿宋" w:cs="仿宋"/>
          <w:sz w:val="32"/>
          <w:szCs w:val="32"/>
        </w:rPr>
        <w:t>校赛分别按照参赛教师</w:t>
      </w:r>
      <w:r>
        <w:rPr>
          <w:rFonts w:hint="eastAsia" w:ascii="Times New Roman" w:hAnsi="Times New Roman" w:eastAsia="仿宋" w:cs="仿宋"/>
          <w:sz w:val="32"/>
          <w:szCs w:val="32"/>
          <w:lang w:val="en-US" w:eastAsia="zh-CN"/>
        </w:rPr>
        <w:t>40</w:t>
      </w:r>
      <w:r>
        <w:rPr>
          <w:rFonts w:hint="eastAsia" w:ascii="Times New Roman" w:hAnsi="Times New Roman" w:eastAsia="仿宋" w:cs="仿宋"/>
          <w:sz w:val="32"/>
          <w:szCs w:val="32"/>
        </w:rPr>
        <w:t>%、35%、</w:t>
      </w:r>
      <w:r>
        <w:rPr>
          <w:rFonts w:hint="eastAsia" w:ascii="Times New Roman" w:hAnsi="Times New Roman" w:eastAsia="仿宋" w:cs="仿宋"/>
          <w:sz w:val="32"/>
          <w:szCs w:val="32"/>
          <w:lang w:val="en-US" w:eastAsia="zh-CN"/>
        </w:rPr>
        <w:t>25</w:t>
      </w:r>
      <w:bookmarkStart w:id="0" w:name="_GoBack"/>
      <w:r>
        <w:rPr>
          <w:rFonts w:hint="eastAsia" w:ascii="Times New Roman" w:hAnsi="Times New Roman" w:eastAsia="仿宋" w:cs="仿宋"/>
          <w:sz w:val="32"/>
          <w:szCs w:val="32"/>
        </w:rPr>
        <w:t>%</w:t>
      </w:r>
      <w:bookmarkEnd w:id="0"/>
      <w:r>
        <w:rPr>
          <w:rFonts w:hint="eastAsia" w:ascii="Times New Roman" w:hAnsi="Times New Roman" w:eastAsia="仿宋" w:cs="仿宋"/>
          <w:sz w:val="32"/>
          <w:szCs w:val="32"/>
        </w:rPr>
        <w:t>的比例设置一等奖、二等奖和三等奖。获奖名额分配根据各组别参赛教师数量调整。</w:t>
      </w:r>
    </w:p>
    <w:sectPr>
      <w:headerReference r:id="rId3" w:type="default"/>
      <w:footerReference r:id="rId5" w:type="default"/>
      <w:headerReference r:id="rId4" w:type="even"/>
      <w:footerReference r:id="rId6" w:type="even"/>
      <w:pgSz w:w="11906" w:h="16838"/>
      <w:pgMar w:top="1587" w:right="1361" w:bottom="1440" w:left="1361" w:header="794" w:footer="590" w:gutter="0"/>
      <w:pgNumType w:fmt="numberInDash"/>
      <w:cols w:space="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AD81E40-F74A-4319-B188-918CCD5770B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modern"/>
    <w:pitch w:val="default"/>
    <w:sig w:usb0="800002BF" w:usb1="38CF7CFA" w:usb2="00000016" w:usb3="00000000" w:csb0="00040001" w:csb1="00000000"/>
    <w:embedRegular r:id="rId2" w:fontKey="{C1D15847-A966-45C5-921C-952197CEBD6B}"/>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FC3A18">
    <w:pPr>
      <w:pStyle w:val="8"/>
      <w:rPr>
        <w:rFonts w:ascii="Times New Roman" w:hAnsi="Times New Roman" w:cs="Times New Roman"/>
        <w:sz w:val="28"/>
        <w:szCs w:val="28"/>
      </w:rPr>
    </w:pPr>
    <w:r>
      <w:rPr>
        <w:sz w:val="28"/>
      </w:rPr>
      <w:pict>
        <v:shape id="_x0000_s2049" o:spid="_x0000_s2049" o:spt="202" type="#_x0000_t202" style="position:absolute;left:0pt;margin-top:0pt;height:144pt;width:144pt;mso-position-horizontal:outside;mso-position-horizontal-relative:margin;mso-wrap-style:none;z-index:251659264;mso-width-relative:page;mso-height-relative:page;" filled="f" stroked="f" coordsize="21600,21600">
          <v:path/>
          <v:fill on="f" focussize="0,0"/>
          <v:stroke on="f" joinstyle="miter"/>
          <v:imagedata o:title=""/>
          <o:lock v:ext="edit"/>
          <v:textbox inset="0mm,0mm,0mm,0mm" style="mso-fit-shape-to-text:t;">
            <w:txbxContent>
              <w:p w14:paraId="1E9F1514">
                <w:pPr>
                  <w:pStyle w:val="8"/>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lang w:val="zh-CN"/>
                  </w:rPr>
                  <w:t>-</w:t>
                </w:r>
                <w:r>
                  <w:rPr>
                    <w:rFonts w:ascii="Times New Roman" w:hAnsi="Times New Roman" w:cs="Times New Roman"/>
                    <w:sz w:val="28"/>
                    <w:szCs w:val="28"/>
                  </w:rPr>
                  <w:t xml:space="preserve"> 3 -</w:t>
                </w:r>
                <w:r>
                  <w:rPr>
                    <w:rFonts w:ascii="Times New Roman" w:hAnsi="Times New Roman" w:cs="Times New Roman"/>
                    <w:sz w:val="28"/>
                    <w:szCs w:val="28"/>
                  </w:rPr>
                  <w:fldChar w:fldCharType="end"/>
                </w:r>
              </w:p>
            </w:txbxContent>
          </v:textbox>
        </v:shape>
      </w:pict>
    </w:r>
  </w:p>
  <w:p w14:paraId="094D52CF">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F6DC2B">
    <w:pPr>
      <w:pStyle w:val="8"/>
    </w:pPr>
    <w:r>
      <w:pict>
        <v:shape id="_x0000_s2050" o:spid="_x0000_s2050" o:spt="202" type="#_x0000_t202" style="position:absolute;left:0pt;margin-top:0pt;height:144pt;width:144pt;mso-position-horizontal:outside;mso-position-horizontal-relative:margin;mso-wrap-style:none;z-index:251660288;mso-width-relative:page;mso-height-relative:page;" filled="f" stroked="f" coordsize="21600,21600">
          <v:path/>
          <v:fill on="f" focussize="0,0"/>
          <v:stroke on="f" joinstyle="miter"/>
          <v:imagedata o:title=""/>
          <o:lock v:ext="edit"/>
          <v:textbox inset="0mm,0mm,0mm,0mm" style="mso-fit-shape-to-text:t;">
            <w:txbxContent>
              <w:sdt>
                <w:sdtPr>
                  <w:id w:val="10276442"/>
                </w:sdtPr>
                <w:sdtContent>
                  <w:p w14:paraId="6E5DBE6C">
                    <w:pPr>
                      <w:pStyle w:val="8"/>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lang w:val="zh-CN"/>
                      </w:rPr>
                      <w:t>-</w:t>
                    </w:r>
                    <w:r>
                      <w:rPr>
                        <w:rFonts w:ascii="Times New Roman" w:hAnsi="Times New Roman" w:cs="Times New Roman"/>
                        <w:sz w:val="28"/>
                        <w:szCs w:val="28"/>
                      </w:rPr>
                      <w:t xml:space="preserve"> 2 -</w:t>
                    </w:r>
                    <w:r>
                      <w:rPr>
                        <w:rFonts w:ascii="Times New Roman" w:hAnsi="Times New Roman" w:cs="Times New Roman"/>
                        <w:sz w:val="28"/>
                        <w:szCs w:val="28"/>
                      </w:rPr>
                      <w:fldChar w:fldCharType="end"/>
                    </w:r>
                  </w:p>
                </w:sdtContent>
              </w:sdt>
              <w:p w14:paraId="1D5F34C4"/>
            </w:txbxContent>
          </v:textbox>
        </v:shape>
      </w:pict>
    </w:r>
  </w:p>
  <w:p w14:paraId="24692076">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D2A03F">
    <w:pPr>
      <w:pStyle w:val="9"/>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0A419F">
    <w:pPr>
      <w:pStyle w:val="9"/>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1"/>
  <w:bordersDoNotSurroundFooter w:val="1"/>
  <w:documentProtection w:enforcement="0"/>
  <w:defaultTabStop w:val="420"/>
  <w:evenAndOddHeaders w:val="1"/>
  <w:drawingGridHorizontalSpacing w:val="105"/>
  <w:drawingGridVerticalSpacing w:val="156"/>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MjFlYWM2OGUxYTg2M2Y5NTFkOGM5NjMyZDY1OGE5NDgifQ=="/>
  </w:docVars>
  <w:rsids>
    <w:rsidRoot w:val="00694FA3"/>
    <w:rsid w:val="000055A3"/>
    <w:rsid w:val="00011790"/>
    <w:rsid w:val="00015D68"/>
    <w:rsid w:val="00026F93"/>
    <w:rsid w:val="000364B0"/>
    <w:rsid w:val="00044117"/>
    <w:rsid w:val="00044430"/>
    <w:rsid w:val="00052D4F"/>
    <w:rsid w:val="00061713"/>
    <w:rsid w:val="0007766D"/>
    <w:rsid w:val="00082203"/>
    <w:rsid w:val="0008601B"/>
    <w:rsid w:val="00094A35"/>
    <w:rsid w:val="000968A6"/>
    <w:rsid w:val="000B2B25"/>
    <w:rsid w:val="000D2977"/>
    <w:rsid w:val="000D66E0"/>
    <w:rsid w:val="000E64DA"/>
    <w:rsid w:val="000F003A"/>
    <w:rsid w:val="000F0EBA"/>
    <w:rsid w:val="000F6D64"/>
    <w:rsid w:val="00104E09"/>
    <w:rsid w:val="0011668E"/>
    <w:rsid w:val="00124133"/>
    <w:rsid w:val="00132263"/>
    <w:rsid w:val="00132C30"/>
    <w:rsid w:val="00142B4D"/>
    <w:rsid w:val="00146DFD"/>
    <w:rsid w:val="0015354D"/>
    <w:rsid w:val="00154A27"/>
    <w:rsid w:val="00155D26"/>
    <w:rsid w:val="00166F61"/>
    <w:rsid w:val="001739BA"/>
    <w:rsid w:val="001752EF"/>
    <w:rsid w:val="00184193"/>
    <w:rsid w:val="001910ED"/>
    <w:rsid w:val="00192730"/>
    <w:rsid w:val="001969D9"/>
    <w:rsid w:val="001971BF"/>
    <w:rsid w:val="00197294"/>
    <w:rsid w:val="001A1588"/>
    <w:rsid w:val="001A313F"/>
    <w:rsid w:val="001A4E47"/>
    <w:rsid w:val="001A7FEA"/>
    <w:rsid w:val="001B5D35"/>
    <w:rsid w:val="001B7250"/>
    <w:rsid w:val="001C3AB7"/>
    <w:rsid w:val="001C3CB5"/>
    <w:rsid w:val="001C3E57"/>
    <w:rsid w:val="001D5F25"/>
    <w:rsid w:val="0020618F"/>
    <w:rsid w:val="002158CB"/>
    <w:rsid w:val="002179E4"/>
    <w:rsid w:val="00220574"/>
    <w:rsid w:val="0022084B"/>
    <w:rsid w:val="0022141E"/>
    <w:rsid w:val="00223937"/>
    <w:rsid w:val="00230A10"/>
    <w:rsid w:val="002351C9"/>
    <w:rsid w:val="00236AD9"/>
    <w:rsid w:val="00241425"/>
    <w:rsid w:val="00250CF7"/>
    <w:rsid w:val="00253420"/>
    <w:rsid w:val="00254A07"/>
    <w:rsid w:val="00270FAC"/>
    <w:rsid w:val="00273A7D"/>
    <w:rsid w:val="00274475"/>
    <w:rsid w:val="0027518F"/>
    <w:rsid w:val="002767F0"/>
    <w:rsid w:val="002819E0"/>
    <w:rsid w:val="0029255C"/>
    <w:rsid w:val="002B06DE"/>
    <w:rsid w:val="002C26A6"/>
    <w:rsid w:val="002D4F9C"/>
    <w:rsid w:val="002D7594"/>
    <w:rsid w:val="002E33BA"/>
    <w:rsid w:val="002E542A"/>
    <w:rsid w:val="002F007E"/>
    <w:rsid w:val="002F1611"/>
    <w:rsid w:val="002F3EBD"/>
    <w:rsid w:val="00302B6A"/>
    <w:rsid w:val="0030358C"/>
    <w:rsid w:val="00304743"/>
    <w:rsid w:val="0030483F"/>
    <w:rsid w:val="003134E4"/>
    <w:rsid w:val="003149B3"/>
    <w:rsid w:val="00320403"/>
    <w:rsid w:val="00320E39"/>
    <w:rsid w:val="0032371E"/>
    <w:rsid w:val="00325893"/>
    <w:rsid w:val="00331BF6"/>
    <w:rsid w:val="003328D1"/>
    <w:rsid w:val="00333815"/>
    <w:rsid w:val="0033485D"/>
    <w:rsid w:val="003457B5"/>
    <w:rsid w:val="00354AD8"/>
    <w:rsid w:val="003644AA"/>
    <w:rsid w:val="003674BD"/>
    <w:rsid w:val="00370F5A"/>
    <w:rsid w:val="00380D15"/>
    <w:rsid w:val="0038410B"/>
    <w:rsid w:val="00393D96"/>
    <w:rsid w:val="00396CA5"/>
    <w:rsid w:val="00397D51"/>
    <w:rsid w:val="003A0F1E"/>
    <w:rsid w:val="003A2D93"/>
    <w:rsid w:val="003B52B1"/>
    <w:rsid w:val="003B638B"/>
    <w:rsid w:val="003B6E39"/>
    <w:rsid w:val="003D3B30"/>
    <w:rsid w:val="003E07C4"/>
    <w:rsid w:val="003F766B"/>
    <w:rsid w:val="00401537"/>
    <w:rsid w:val="00402F79"/>
    <w:rsid w:val="00404F16"/>
    <w:rsid w:val="00415604"/>
    <w:rsid w:val="00417587"/>
    <w:rsid w:val="00423178"/>
    <w:rsid w:val="0043112B"/>
    <w:rsid w:val="00441931"/>
    <w:rsid w:val="00462604"/>
    <w:rsid w:val="00463541"/>
    <w:rsid w:val="00470247"/>
    <w:rsid w:val="0047293E"/>
    <w:rsid w:val="00472B58"/>
    <w:rsid w:val="00473B8F"/>
    <w:rsid w:val="0047522F"/>
    <w:rsid w:val="004816BB"/>
    <w:rsid w:val="00491A53"/>
    <w:rsid w:val="00493EE5"/>
    <w:rsid w:val="004A46B3"/>
    <w:rsid w:val="004B3883"/>
    <w:rsid w:val="004B3F72"/>
    <w:rsid w:val="004B59DC"/>
    <w:rsid w:val="004C3F61"/>
    <w:rsid w:val="004D03F8"/>
    <w:rsid w:val="004D12B7"/>
    <w:rsid w:val="004D3947"/>
    <w:rsid w:val="004D446E"/>
    <w:rsid w:val="004D473D"/>
    <w:rsid w:val="004D67F5"/>
    <w:rsid w:val="004E1AAB"/>
    <w:rsid w:val="004E20C4"/>
    <w:rsid w:val="004F6772"/>
    <w:rsid w:val="005114EA"/>
    <w:rsid w:val="00512A49"/>
    <w:rsid w:val="00515864"/>
    <w:rsid w:val="00516819"/>
    <w:rsid w:val="0052080F"/>
    <w:rsid w:val="00531D52"/>
    <w:rsid w:val="005348CF"/>
    <w:rsid w:val="00535310"/>
    <w:rsid w:val="00557B8D"/>
    <w:rsid w:val="00564E3A"/>
    <w:rsid w:val="0057273D"/>
    <w:rsid w:val="00583600"/>
    <w:rsid w:val="00587479"/>
    <w:rsid w:val="00592C72"/>
    <w:rsid w:val="00596237"/>
    <w:rsid w:val="005A57F4"/>
    <w:rsid w:val="005B5909"/>
    <w:rsid w:val="005B6A2A"/>
    <w:rsid w:val="005C3446"/>
    <w:rsid w:val="005C6272"/>
    <w:rsid w:val="005D76DD"/>
    <w:rsid w:val="005E58D6"/>
    <w:rsid w:val="005F08BA"/>
    <w:rsid w:val="00615E57"/>
    <w:rsid w:val="00620251"/>
    <w:rsid w:val="006307CB"/>
    <w:rsid w:val="006631B9"/>
    <w:rsid w:val="006733F4"/>
    <w:rsid w:val="006847DF"/>
    <w:rsid w:val="0069270D"/>
    <w:rsid w:val="00694FA3"/>
    <w:rsid w:val="00695786"/>
    <w:rsid w:val="006A2A3A"/>
    <w:rsid w:val="006C2DCF"/>
    <w:rsid w:val="006D5A25"/>
    <w:rsid w:val="006E4B45"/>
    <w:rsid w:val="00702CF9"/>
    <w:rsid w:val="007148AE"/>
    <w:rsid w:val="00715090"/>
    <w:rsid w:val="0071511A"/>
    <w:rsid w:val="00716201"/>
    <w:rsid w:val="00725C54"/>
    <w:rsid w:val="0073549D"/>
    <w:rsid w:val="00747917"/>
    <w:rsid w:val="00752325"/>
    <w:rsid w:val="00760432"/>
    <w:rsid w:val="007645D5"/>
    <w:rsid w:val="00765EFF"/>
    <w:rsid w:val="00775062"/>
    <w:rsid w:val="00784CDD"/>
    <w:rsid w:val="00785E9B"/>
    <w:rsid w:val="00797EB2"/>
    <w:rsid w:val="00797EDF"/>
    <w:rsid w:val="007C5CA4"/>
    <w:rsid w:val="007E2AF1"/>
    <w:rsid w:val="007E68EF"/>
    <w:rsid w:val="007F5101"/>
    <w:rsid w:val="007F588B"/>
    <w:rsid w:val="007F63D5"/>
    <w:rsid w:val="0080237D"/>
    <w:rsid w:val="00812881"/>
    <w:rsid w:val="0081481F"/>
    <w:rsid w:val="00815355"/>
    <w:rsid w:val="00823819"/>
    <w:rsid w:val="008245C5"/>
    <w:rsid w:val="00824A1D"/>
    <w:rsid w:val="00826889"/>
    <w:rsid w:val="00830E23"/>
    <w:rsid w:val="00861168"/>
    <w:rsid w:val="0086302E"/>
    <w:rsid w:val="0086756C"/>
    <w:rsid w:val="00870186"/>
    <w:rsid w:val="00874471"/>
    <w:rsid w:val="008771F1"/>
    <w:rsid w:val="00877C3A"/>
    <w:rsid w:val="00880CB9"/>
    <w:rsid w:val="008816DF"/>
    <w:rsid w:val="00886177"/>
    <w:rsid w:val="00891529"/>
    <w:rsid w:val="008B085D"/>
    <w:rsid w:val="008B26DD"/>
    <w:rsid w:val="008B5539"/>
    <w:rsid w:val="008D22BA"/>
    <w:rsid w:val="008D4917"/>
    <w:rsid w:val="008D5C12"/>
    <w:rsid w:val="008E08EB"/>
    <w:rsid w:val="008E58BE"/>
    <w:rsid w:val="00905442"/>
    <w:rsid w:val="009126A2"/>
    <w:rsid w:val="00921C91"/>
    <w:rsid w:val="0093160E"/>
    <w:rsid w:val="00931D45"/>
    <w:rsid w:val="00941523"/>
    <w:rsid w:val="009464B0"/>
    <w:rsid w:val="009475E5"/>
    <w:rsid w:val="00955AE2"/>
    <w:rsid w:val="0095734A"/>
    <w:rsid w:val="00962295"/>
    <w:rsid w:val="00962E7C"/>
    <w:rsid w:val="00964A8D"/>
    <w:rsid w:val="00967C98"/>
    <w:rsid w:val="00975305"/>
    <w:rsid w:val="0098419D"/>
    <w:rsid w:val="00984B1E"/>
    <w:rsid w:val="009871A0"/>
    <w:rsid w:val="00994E1F"/>
    <w:rsid w:val="009A2035"/>
    <w:rsid w:val="009B5098"/>
    <w:rsid w:val="009C0DE5"/>
    <w:rsid w:val="009C21E7"/>
    <w:rsid w:val="009D7C60"/>
    <w:rsid w:val="009E06CE"/>
    <w:rsid w:val="009F0383"/>
    <w:rsid w:val="009F7E17"/>
    <w:rsid w:val="00A00118"/>
    <w:rsid w:val="00A02238"/>
    <w:rsid w:val="00A1345F"/>
    <w:rsid w:val="00A13556"/>
    <w:rsid w:val="00A1460F"/>
    <w:rsid w:val="00A15562"/>
    <w:rsid w:val="00A22F37"/>
    <w:rsid w:val="00A245D4"/>
    <w:rsid w:val="00A31ACB"/>
    <w:rsid w:val="00A3469F"/>
    <w:rsid w:val="00A405CF"/>
    <w:rsid w:val="00A4504D"/>
    <w:rsid w:val="00A467C9"/>
    <w:rsid w:val="00A56D82"/>
    <w:rsid w:val="00A604CC"/>
    <w:rsid w:val="00A65F31"/>
    <w:rsid w:val="00A725FD"/>
    <w:rsid w:val="00A75099"/>
    <w:rsid w:val="00A859A8"/>
    <w:rsid w:val="00A87B65"/>
    <w:rsid w:val="00A943CD"/>
    <w:rsid w:val="00AC1462"/>
    <w:rsid w:val="00AD2BE4"/>
    <w:rsid w:val="00AF1211"/>
    <w:rsid w:val="00AF2E19"/>
    <w:rsid w:val="00AF2FCB"/>
    <w:rsid w:val="00B04778"/>
    <w:rsid w:val="00B0539D"/>
    <w:rsid w:val="00B10D14"/>
    <w:rsid w:val="00B12637"/>
    <w:rsid w:val="00B17225"/>
    <w:rsid w:val="00B219FB"/>
    <w:rsid w:val="00B32044"/>
    <w:rsid w:val="00B32FE7"/>
    <w:rsid w:val="00B40050"/>
    <w:rsid w:val="00B561A5"/>
    <w:rsid w:val="00B6218D"/>
    <w:rsid w:val="00B62C41"/>
    <w:rsid w:val="00B7435B"/>
    <w:rsid w:val="00B763C6"/>
    <w:rsid w:val="00B768E2"/>
    <w:rsid w:val="00B916B0"/>
    <w:rsid w:val="00B96A7B"/>
    <w:rsid w:val="00BA3300"/>
    <w:rsid w:val="00BA3740"/>
    <w:rsid w:val="00BA6431"/>
    <w:rsid w:val="00BB083F"/>
    <w:rsid w:val="00BB2421"/>
    <w:rsid w:val="00BC1CEA"/>
    <w:rsid w:val="00BD3AEE"/>
    <w:rsid w:val="00BE0FA5"/>
    <w:rsid w:val="00BF7FF3"/>
    <w:rsid w:val="00C156E4"/>
    <w:rsid w:val="00C16815"/>
    <w:rsid w:val="00C320B9"/>
    <w:rsid w:val="00C458FA"/>
    <w:rsid w:val="00C5053B"/>
    <w:rsid w:val="00C540B6"/>
    <w:rsid w:val="00C54A94"/>
    <w:rsid w:val="00C57652"/>
    <w:rsid w:val="00C67E65"/>
    <w:rsid w:val="00C702F5"/>
    <w:rsid w:val="00C704B8"/>
    <w:rsid w:val="00C75990"/>
    <w:rsid w:val="00C76E26"/>
    <w:rsid w:val="00C931A1"/>
    <w:rsid w:val="00CA39CE"/>
    <w:rsid w:val="00CB1927"/>
    <w:rsid w:val="00CC20F0"/>
    <w:rsid w:val="00CC2C45"/>
    <w:rsid w:val="00CD0F13"/>
    <w:rsid w:val="00CD472B"/>
    <w:rsid w:val="00CD5251"/>
    <w:rsid w:val="00CD5586"/>
    <w:rsid w:val="00CD7C00"/>
    <w:rsid w:val="00CE53DC"/>
    <w:rsid w:val="00CE665A"/>
    <w:rsid w:val="00CE71D2"/>
    <w:rsid w:val="00CF0132"/>
    <w:rsid w:val="00CF38D6"/>
    <w:rsid w:val="00CF5371"/>
    <w:rsid w:val="00CF6975"/>
    <w:rsid w:val="00D0171D"/>
    <w:rsid w:val="00D12C90"/>
    <w:rsid w:val="00D36EC4"/>
    <w:rsid w:val="00D53B5C"/>
    <w:rsid w:val="00D65448"/>
    <w:rsid w:val="00D84098"/>
    <w:rsid w:val="00D8783C"/>
    <w:rsid w:val="00DA3A1C"/>
    <w:rsid w:val="00DA7EAE"/>
    <w:rsid w:val="00DB47A5"/>
    <w:rsid w:val="00DC0D63"/>
    <w:rsid w:val="00DC50C1"/>
    <w:rsid w:val="00DC7A98"/>
    <w:rsid w:val="00DE07DF"/>
    <w:rsid w:val="00DE317A"/>
    <w:rsid w:val="00DE7960"/>
    <w:rsid w:val="00E006BB"/>
    <w:rsid w:val="00E04EC2"/>
    <w:rsid w:val="00E13567"/>
    <w:rsid w:val="00E176D4"/>
    <w:rsid w:val="00E2762D"/>
    <w:rsid w:val="00E5421E"/>
    <w:rsid w:val="00E56B7E"/>
    <w:rsid w:val="00E57EAC"/>
    <w:rsid w:val="00E66D3E"/>
    <w:rsid w:val="00E80468"/>
    <w:rsid w:val="00E935DB"/>
    <w:rsid w:val="00EB1F19"/>
    <w:rsid w:val="00EC4674"/>
    <w:rsid w:val="00EC4E35"/>
    <w:rsid w:val="00EC756F"/>
    <w:rsid w:val="00ED05A1"/>
    <w:rsid w:val="00ED17A7"/>
    <w:rsid w:val="00ED2440"/>
    <w:rsid w:val="00ED7754"/>
    <w:rsid w:val="00EE2445"/>
    <w:rsid w:val="00EE5B47"/>
    <w:rsid w:val="00EF3D63"/>
    <w:rsid w:val="00EF6860"/>
    <w:rsid w:val="00F03395"/>
    <w:rsid w:val="00F03E2D"/>
    <w:rsid w:val="00F05FED"/>
    <w:rsid w:val="00F11033"/>
    <w:rsid w:val="00F1376E"/>
    <w:rsid w:val="00F142F0"/>
    <w:rsid w:val="00F20312"/>
    <w:rsid w:val="00F24098"/>
    <w:rsid w:val="00F27EB8"/>
    <w:rsid w:val="00F33156"/>
    <w:rsid w:val="00F3528F"/>
    <w:rsid w:val="00F45705"/>
    <w:rsid w:val="00F45885"/>
    <w:rsid w:val="00F5132A"/>
    <w:rsid w:val="00F51846"/>
    <w:rsid w:val="00F54203"/>
    <w:rsid w:val="00F545C6"/>
    <w:rsid w:val="00F73E6A"/>
    <w:rsid w:val="00F831C3"/>
    <w:rsid w:val="00F86494"/>
    <w:rsid w:val="00F93AB6"/>
    <w:rsid w:val="00FB2396"/>
    <w:rsid w:val="00FC19E3"/>
    <w:rsid w:val="00FC5312"/>
    <w:rsid w:val="00FE42BD"/>
    <w:rsid w:val="00FE4777"/>
    <w:rsid w:val="00FF0BD3"/>
    <w:rsid w:val="01765124"/>
    <w:rsid w:val="01CB21A8"/>
    <w:rsid w:val="02890EFE"/>
    <w:rsid w:val="02EF0F79"/>
    <w:rsid w:val="03431492"/>
    <w:rsid w:val="035A6A2E"/>
    <w:rsid w:val="037A568A"/>
    <w:rsid w:val="0383398F"/>
    <w:rsid w:val="04225671"/>
    <w:rsid w:val="04F217BD"/>
    <w:rsid w:val="0570558B"/>
    <w:rsid w:val="058A2288"/>
    <w:rsid w:val="05917228"/>
    <w:rsid w:val="0B5E7A49"/>
    <w:rsid w:val="0D894C89"/>
    <w:rsid w:val="0D8E6743"/>
    <w:rsid w:val="0E87566C"/>
    <w:rsid w:val="10925F4C"/>
    <w:rsid w:val="10C8617B"/>
    <w:rsid w:val="119B52C4"/>
    <w:rsid w:val="12607A32"/>
    <w:rsid w:val="12764D6B"/>
    <w:rsid w:val="12AE75A7"/>
    <w:rsid w:val="1AB704C9"/>
    <w:rsid w:val="1B402872"/>
    <w:rsid w:val="1C297D63"/>
    <w:rsid w:val="1CD47BD7"/>
    <w:rsid w:val="1F0C3DD1"/>
    <w:rsid w:val="1FED5856"/>
    <w:rsid w:val="20EF2F54"/>
    <w:rsid w:val="210654FB"/>
    <w:rsid w:val="22BE0D30"/>
    <w:rsid w:val="236E40ED"/>
    <w:rsid w:val="2549032A"/>
    <w:rsid w:val="256911D0"/>
    <w:rsid w:val="27693709"/>
    <w:rsid w:val="27C24581"/>
    <w:rsid w:val="27DD7C53"/>
    <w:rsid w:val="290E4EF8"/>
    <w:rsid w:val="29600B3C"/>
    <w:rsid w:val="2C1B5102"/>
    <w:rsid w:val="2D2A3BE8"/>
    <w:rsid w:val="2EFE507F"/>
    <w:rsid w:val="30F02D79"/>
    <w:rsid w:val="33605193"/>
    <w:rsid w:val="34597F5B"/>
    <w:rsid w:val="358E1E0A"/>
    <w:rsid w:val="362817E8"/>
    <w:rsid w:val="36CA448E"/>
    <w:rsid w:val="37C8301C"/>
    <w:rsid w:val="389778BB"/>
    <w:rsid w:val="38C76FD4"/>
    <w:rsid w:val="3ADD6D87"/>
    <w:rsid w:val="3B312619"/>
    <w:rsid w:val="3BA05290"/>
    <w:rsid w:val="3C495460"/>
    <w:rsid w:val="3DEC20D5"/>
    <w:rsid w:val="3EFE4C27"/>
    <w:rsid w:val="3FA2796E"/>
    <w:rsid w:val="40012CF1"/>
    <w:rsid w:val="42516C28"/>
    <w:rsid w:val="436A61A1"/>
    <w:rsid w:val="446812A7"/>
    <w:rsid w:val="44E177B9"/>
    <w:rsid w:val="465B3D59"/>
    <w:rsid w:val="470E62BA"/>
    <w:rsid w:val="4718779E"/>
    <w:rsid w:val="473D564F"/>
    <w:rsid w:val="47D957E7"/>
    <w:rsid w:val="47FD6081"/>
    <w:rsid w:val="48284AC3"/>
    <w:rsid w:val="489B34E7"/>
    <w:rsid w:val="48A66C8D"/>
    <w:rsid w:val="48C04CFB"/>
    <w:rsid w:val="4A8A735C"/>
    <w:rsid w:val="4C5440D8"/>
    <w:rsid w:val="4CFD4623"/>
    <w:rsid w:val="4E263EA3"/>
    <w:rsid w:val="518C5BE1"/>
    <w:rsid w:val="51AA29D4"/>
    <w:rsid w:val="51DD0EBD"/>
    <w:rsid w:val="52BA304B"/>
    <w:rsid w:val="53CF01DD"/>
    <w:rsid w:val="53D12131"/>
    <w:rsid w:val="55514215"/>
    <w:rsid w:val="5597754C"/>
    <w:rsid w:val="55E2447E"/>
    <w:rsid w:val="56004989"/>
    <w:rsid w:val="56232CED"/>
    <w:rsid w:val="56B967DB"/>
    <w:rsid w:val="581F05C9"/>
    <w:rsid w:val="5A0637C2"/>
    <w:rsid w:val="5B136F0D"/>
    <w:rsid w:val="5BBE5C8E"/>
    <w:rsid w:val="5C2E7EDB"/>
    <w:rsid w:val="5CEB4340"/>
    <w:rsid w:val="5DB35E6A"/>
    <w:rsid w:val="5E0668C9"/>
    <w:rsid w:val="607E307A"/>
    <w:rsid w:val="617614B1"/>
    <w:rsid w:val="62D21AA8"/>
    <w:rsid w:val="633F11E7"/>
    <w:rsid w:val="634C3904"/>
    <w:rsid w:val="63B6456F"/>
    <w:rsid w:val="6427046F"/>
    <w:rsid w:val="65407DA1"/>
    <w:rsid w:val="6650370B"/>
    <w:rsid w:val="682B437D"/>
    <w:rsid w:val="6BBB5E86"/>
    <w:rsid w:val="6C0868F2"/>
    <w:rsid w:val="6CAF4123"/>
    <w:rsid w:val="6D264A1F"/>
    <w:rsid w:val="6E225705"/>
    <w:rsid w:val="6E850B79"/>
    <w:rsid w:val="70BD741D"/>
    <w:rsid w:val="70ED4030"/>
    <w:rsid w:val="70F2377F"/>
    <w:rsid w:val="71AC55FC"/>
    <w:rsid w:val="74DB58A6"/>
    <w:rsid w:val="75792411"/>
    <w:rsid w:val="762A53DF"/>
    <w:rsid w:val="766E3AC1"/>
    <w:rsid w:val="78ED218C"/>
    <w:rsid w:val="78FF7181"/>
    <w:rsid w:val="7B1A27DF"/>
    <w:rsid w:val="7B884E80"/>
    <w:rsid w:val="7E8956DF"/>
    <w:rsid w:val="7F7360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0" w:semiHidden="0" w:name="header"/>
    <w:lsdException w:qFormat="1"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link w:val="38"/>
    <w:qFormat/>
    <w:uiPriority w:val="9"/>
    <w:pPr>
      <w:widowControl/>
      <w:spacing w:before="100" w:beforeAutospacing="1" w:after="100" w:afterAutospacing="1"/>
      <w:jc w:val="left"/>
      <w:outlineLvl w:val="1"/>
    </w:pPr>
    <w:rPr>
      <w:rFonts w:ascii="宋体" w:hAnsi="宋体" w:eastAsia="宋体" w:cs="宋体"/>
      <w:b/>
      <w:bCs/>
      <w:kern w:val="0"/>
      <w:sz w:val="36"/>
      <w:szCs w:val="36"/>
    </w:rPr>
  </w:style>
  <w:style w:type="character" w:default="1" w:styleId="14">
    <w:name w:val="Default Paragraph Font"/>
    <w:semiHidden/>
    <w:unhideWhenUsed/>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3">
    <w:name w:val="caption"/>
    <w:basedOn w:val="1"/>
    <w:next w:val="1"/>
    <w:qFormat/>
    <w:uiPriority w:val="0"/>
    <w:pPr>
      <w:spacing w:before="152" w:after="160"/>
    </w:pPr>
    <w:rPr>
      <w:rFonts w:ascii="Arial" w:hAnsi="Arial" w:eastAsia="黑体" w:cs="Arial"/>
      <w:sz w:val="20"/>
      <w:szCs w:val="20"/>
    </w:rPr>
  </w:style>
  <w:style w:type="paragraph" w:styleId="4">
    <w:name w:val="annotation text"/>
    <w:basedOn w:val="1"/>
    <w:link w:val="41"/>
    <w:unhideWhenUsed/>
    <w:qFormat/>
    <w:uiPriority w:val="99"/>
    <w:pPr>
      <w:jc w:val="left"/>
    </w:pPr>
  </w:style>
  <w:style w:type="paragraph" w:styleId="5">
    <w:name w:val="Body Text"/>
    <w:basedOn w:val="1"/>
    <w:qFormat/>
    <w:uiPriority w:val="1"/>
    <w:pPr>
      <w:ind w:left="231"/>
    </w:pPr>
    <w:rPr>
      <w:rFonts w:ascii="仿宋" w:hAnsi="仿宋" w:eastAsia="仿宋" w:cs="仿宋"/>
      <w:sz w:val="30"/>
      <w:szCs w:val="30"/>
      <w:lang w:val="zh-CN" w:bidi="zh-CN"/>
    </w:rPr>
  </w:style>
  <w:style w:type="paragraph" w:styleId="6">
    <w:name w:val="Date"/>
    <w:basedOn w:val="1"/>
    <w:next w:val="1"/>
    <w:link w:val="22"/>
    <w:semiHidden/>
    <w:unhideWhenUsed/>
    <w:qFormat/>
    <w:uiPriority w:val="99"/>
    <w:pPr>
      <w:ind w:left="100" w:leftChars="2500"/>
    </w:pPr>
  </w:style>
  <w:style w:type="paragraph" w:styleId="7">
    <w:name w:val="Balloon Text"/>
    <w:basedOn w:val="1"/>
    <w:link w:val="21"/>
    <w:semiHidden/>
    <w:unhideWhenUsed/>
    <w:qFormat/>
    <w:uiPriority w:val="99"/>
    <w:rPr>
      <w:sz w:val="18"/>
      <w:szCs w:val="18"/>
    </w:rPr>
  </w:style>
  <w:style w:type="paragraph" w:styleId="8">
    <w:name w:val="footer"/>
    <w:basedOn w:val="1"/>
    <w:link w:val="20"/>
    <w:unhideWhenUsed/>
    <w:qFormat/>
    <w:uiPriority w:val="99"/>
    <w:pPr>
      <w:tabs>
        <w:tab w:val="center" w:pos="4153"/>
        <w:tab w:val="right" w:pos="8306"/>
      </w:tabs>
      <w:snapToGrid w:val="0"/>
      <w:jc w:val="left"/>
    </w:pPr>
    <w:rPr>
      <w:sz w:val="18"/>
      <w:szCs w:val="18"/>
    </w:rPr>
  </w:style>
  <w:style w:type="paragraph" w:styleId="9">
    <w:name w:val="header"/>
    <w:basedOn w:val="1"/>
    <w:link w:val="19"/>
    <w:unhideWhenUsed/>
    <w:qFormat/>
    <w:uiPriority w:val="0"/>
    <w:pPr>
      <w:pBdr>
        <w:bottom w:val="single" w:color="auto" w:sz="6" w:space="1"/>
      </w:pBdr>
      <w:tabs>
        <w:tab w:val="center" w:pos="4153"/>
        <w:tab w:val="right" w:pos="8306"/>
      </w:tabs>
      <w:snapToGrid w:val="0"/>
      <w:jc w:val="center"/>
    </w:pPr>
    <w:rPr>
      <w:sz w:val="18"/>
      <w:szCs w:val="18"/>
    </w:rPr>
  </w:style>
  <w:style w:type="paragraph" w:styleId="10">
    <w:name w:val="Normal (Web)"/>
    <w:basedOn w:val="1"/>
    <w:semiHidden/>
    <w:unhideWhenUsed/>
    <w:qFormat/>
    <w:uiPriority w:val="99"/>
    <w:pPr>
      <w:spacing w:beforeAutospacing="1" w:afterAutospacing="1"/>
      <w:jc w:val="left"/>
    </w:pPr>
    <w:rPr>
      <w:rFonts w:cs="Times New Roman"/>
      <w:kern w:val="0"/>
      <w:sz w:val="24"/>
    </w:rPr>
  </w:style>
  <w:style w:type="paragraph" w:styleId="11">
    <w:name w:val="annotation subject"/>
    <w:basedOn w:val="4"/>
    <w:next w:val="4"/>
    <w:link w:val="42"/>
    <w:semiHidden/>
    <w:unhideWhenUsed/>
    <w:qFormat/>
    <w:uiPriority w:val="99"/>
    <w:rPr>
      <w:b/>
      <w:bCs/>
    </w:r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basedOn w:val="14"/>
    <w:qFormat/>
    <w:uiPriority w:val="22"/>
    <w:rPr>
      <w:b/>
      <w:bCs/>
    </w:rPr>
  </w:style>
  <w:style w:type="character" w:styleId="16">
    <w:name w:val="page number"/>
    <w:basedOn w:val="14"/>
    <w:qFormat/>
    <w:uiPriority w:val="0"/>
  </w:style>
  <w:style w:type="character" w:styleId="17">
    <w:name w:val="Hyperlink"/>
    <w:qFormat/>
    <w:uiPriority w:val="99"/>
    <w:rPr>
      <w:color w:val="0000FF"/>
      <w:u w:val="single"/>
    </w:rPr>
  </w:style>
  <w:style w:type="character" w:styleId="18">
    <w:name w:val="annotation reference"/>
    <w:basedOn w:val="14"/>
    <w:semiHidden/>
    <w:unhideWhenUsed/>
    <w:qFormat/>
    <w:uiPriority w:val="99"/>
    <w:rPr>
      <w:sz w:val="21"/>
      <w:szCs w:val="21"/>
    </w:rPr>
  </w:style>
  <w:style w:type="character" w:customStyle="1" w:styleId="19">
    <w:name w:val="页眉 字符"/>
    <w:basedOn w:val="14"/>
    <w:link w:val="9"/>
    <w:semiHidden/>
    <w:qFormat/>
    <w:uiPriority w:val="99"/>
    <w:rPr>
      <w:sz w:val="18"/>
      <w:szCs w:val="18"/>
    </w:rPr>
  </w:style>
  <w:style w:type="character" w:customStyle="1" w:styleId="20">
    <w:name w:val="页脚 字符"/>
    <w:basedOn w:val="14"/>
    <w:link w:val="8"/>
    <w:qFormat/>
    <w:uiPriority w:val="99"/>
    <w:rPr>
      <w:sz w:val="18"/>
      <w:szCs w:val="18"/>
    </w:rPr>
  </w:style>
  <w:style w:type="character" w:customStyle="1" w:styleId="21">
    <w:name w:val="批注框文本 字符"/>
    <w:basedOn w:val="14"/>
    <w:link w:val="7"/>
    <w:semiHidden/>
    <w:qFormat/>
    <w:uiPriority w:val="99"/>
    <w:rPr>
      <w:sz w:val="18"/>
      <w:szCs w:val="18"/>
    </w:rPr>
  </w:style>
  <w:style w:type="character" w:customStyle="1" w:styleId="22">
    <w:name w:val="日期 字符"/>
    <w:basedOn w:val="14"/>
    <w:link w:val="6"/>
    <w:semiHidden/>
    <w:qFormat/>
    <w:uiPriority w:val="99"/>
  </w:style>
  <w:style w:type="paragraph" w:customStyle="1" w:styleId="23">
    <w:name w:val="font5"/>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24">
    <w:name w:val="font6"/>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25">
    <w:name w:val="font7"/>
    <w:basedOn w:val="1"/>
    <w:qFormat/>
    <w:uiPriority w:val="0"/>
    <w:pPr>
      <w:widowControl/>
      <w:spacing w:before="100" w:beforeAutospacing="1" w:after="100" w:afterAutospacing="1"/>
      <w:jc w:val="left"/>
    </w:pPr>
    <w:rPr>
      <w:rFonts w:ascii="宋体" w:hAnsi="宋体" w:eastAsia="宋体" w:cs="宋体"/>
      <w:kern w:val="0"/>
      <w:sz w:val="22"/>
    </w:rPr>
  </w:style>
  <w:style w:type="paragraph" w:customStyle="1" w:styleId="26">
    <w:name w:val="font8"/>
    <w:basedOn w:val="1"/>
    <w:qFormat/>
    <w:uiPriority w:val="0"/>
    <w:pPr>
      <w:widowControl/>
      <w:spacing w:before="100" w:beforeAutospacing="1" w:after="100" w:afterAutospacing="1"/>
      <w:jc w:val="left"/>
    </w:pPr>
    <w:rPr>
      <w:rFonts w:ascii="宋体" w:hAnsi="宋体" w:eastAsia="宋体" w:cs="宋体"/>
      <w:kern w:val="0"/>
      <w:sz w:val="22"/>
    </w:rPr>
  </w:style>
  <w:style w:type="paragraph" w:customStyle="1" w:styleId="27">
    <w:name w:val="xl65"/>
    <w:basedOn w:val="1"/>
    <w:qFormat/>
    <w:uiPriority w:val="0"/>
    <w:pPr>
      <w:widowControl/>
      <w:spacing w:before="100" w:beforeAutospacing="1" w:after="100" w:afterAutospacing="1"/>
      <w:jc w:val="center"/>
    </w:pPr>
    <w:rPr>
      <w:rFonts w:ascii="宋体" w:hAnsi="宋体" w:eastAsia="宋体" w:cs="宋体"/>
      <w:kern w:val="0"/>
      <w:sz w:val="24"/>
      <w:szCs w:val="24"/>
    </w:rPr>
  </w:style>
  <w:style w:type="paragraph" w:customStyle="1" w:styleId="28">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24"/>
      <w:szCs w:val="24"/>
    </w:rPr>
  </w:style>
  <w:style w:type="paragraph" w:customStyle="1" w:styleId="29">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2"/>
    </w:rPr>
  </w:style>
  <w:style w:type="paragraph" w:customStyle="1" w:styleId="30">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4"/>
      <w:szCs w:val="24"/>
    </w:rPr>
  </w:style>
  <w:style w:type="paragraph" w:customStyle="1" w:styleId="31">
    <w:name w:val="xl69"/>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22"/>
    </w:rPr>
  </w:style>
  <w:style w:type="paragraph" w:customStyle="1" w:styleId="32">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宋体" w:hAnsi="宋体" w:eastAsia="宋体" w:cs="宋体"/>
      <w:kern w:val="0"/>
      <w:sz w:val="22"/>
    </w:rPr>
  </w:style>
  <w:style w:type="paragraph" w:customStyle="1" w:styleId="33">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2"/>
    </w:rPr>
  </w:style>
  <w:style w:type="paragraph" w:customStyle="1" w:styleId="34">
    <w:name w:val="xl72"/>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eastAsia="宋体" w:cs="宋体"/>
      <w:kern w:val="0"/>
      <w:sz w:val="22"/>
    </w:rPr>
  </w:style>
  <w:style w:type="paragraph" w:customStyle="1" w:styleId="35">
    <w:name w:val="xl7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2"/>
    </w:rPr>
  </w:style>
  <w:style w:type="paragraph" w:customStyle="1" w:styleId="36">
    <w:name w:val="xl74"/>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2"/>
    </w:rPr>
  </w:style>
  <w:style w:type="paragraph" w:styleId="37">
    <w:name w:val="List Paragraph"/>
    <w:basedOn w:val="1"/>
    <w:qFormat/>
    <w:uiPriority w:val="34"/>
    <w:pPr>
      <w:ind w:firstLine="420" w:firstLineChars="200"/>
    </w:pPr>
  </w:style>
  <w:style w:type="character" w:customStyle="1" w:styleId="38">
    <w:name w:val="标题 2 字符"/>
    <w:basedOn w:val="14"/>
    <w:link w:val="2"/>
    <w:qFormat/>
    <w:uiPriority w:val="9"/>
    <w:rPr>
      <w:rFonts w:ascii="宋体" w:hAnsi="宋体" w:eastAsia="宋体" w:cs="宋体"/>
      <w:b/>
      <w:bCs/>
      <w:kern w:val="0"/>
      <w:sz w:val="36"/>
      <w:szCs w:val="36"/>
    </w:rPr>
  </w:style>
  <w:style w:type="paragraph" w:customStyle="1" w:styleId="39">
    <w:name w:val="Default"/>
    <w:qFormat/>
    <w:uiPriority w:val="0"/>
    <w:pPr>
      <w:widowControl w:val="0"/>
      <w:autoSpaceDE w:val="0"/>
      <w:autoSpaceDN w:val="0"/>
      <w:adjustRightInd w:val="0"/>
    </w:pPr>
    <w:rPr>
      <w:rFonts w:ascii="仿宋" w:hAnsi="Times New Roman" w:eastAsia="仿宋" w:cs="仿宋"/>
      <w:color w:val="000000"/>
      <w:sz w:val="24"/>
      <w:szCs w:val="24"/>
      <w:lang w:val="en-US" w:eastAsia="zh-CN" w:bidi="ar-SA"/>
    </w:rPr>
  </w:style>
  <w:style w:type="paragraph" w:customStyle="1" w:styleId="40">
    <w:name w:val="_Style 1"/>
    <w:basedOn w:val="1"/>
    <w:qFormat/>
    <w:uiPriority w:val="0"/>
    <w:pPr>
      <w:widowControl/>
      <w:adjustRightInd w:val="0"/>
      <w:snapToGrid w:val="0"/>
      <w:spacing w:after="200"/>
      <w:ind w:firstLine="420" w:firstLineChars="200"/>
      <w:jc w:val="left"/>
    </w:pPr>
    <w:rPr>
      <w:rFonts w:ascii="Tahoma" w:hAnsi="Tahoma" w:eastAsia="微软雅黑"/>
      <w:kern w:val="0"/>
      <w:sz w:val="22"/>
    </w:rPr>
  </w:style>
  <w:style w:type="character" w:customStyle="1" w:styleId="41">
    <w:name w:val="批注文字 字符"/>
    <w:basedOn w:val="14"/>
    <w:link w:val="4"/>
    <w:qFormat/>
    <w:uiPriority w:val="99"/>
    <w:rPr>
      <w:rFonts w:asciiTheme="minorHAnsi" w:hAnsiTheme="minorHAnsi" w:eastAsiaTheme="minorEastAsia" w:cstheme="minorBidi"/>
      <w:kern w:val="2"/>
      <w:sz w:val="21"/>
      <w:szCs w:val="22"/>
    </w:rPr>
  </w:style>
  <w:style w:type="character" w:customStyle="1" w:styleId="42">
    <w:name w:val="批注主题 字符"/>
    <w:basedOn w:val="41"/>
    <w:link w:val="11"/>
    <w:semiHidden/>
    <w:qFormat/>
    <w:uiPriority w:val="99"/>
    <w:rPr>
      <w:rFonts w:asciiTheme="minorHAnsi" w:hAnsiTheme="minorHAnsi" w:eastAsiaTheme="minorEastAsia" w:cstheme="minorBidi"/>
      <w:b/>
      <w:bCs/>
      <w:kern w:val="2"/>
      <w:sz w:val="21"/>
      <w:szCs w:val="22"/>
    </w:rPr>
  </w:style>
  <w:style w:type="character" w:customStyle="1" w:styleId="43">
    <w:name w:val="未处理的提及1"/>
    <w:basedOn w:val="14"/>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49"/>
    <customShpInfo spid="_x0000_s2050"/>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07E595A-9104-4438-9F21-3511C93419B8}">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3</Pages>
  <Words>596</Words>
  <Characters>603</Characters>
  <Lines>13</Lines>
  <Paragraphs>3</Paragraphs>
  <TotalTime>4</TotalTime>
  <ScaleCrop>false</ScaleCrop>
  <LinksUpToDate>false</LinksUpToDate>
  <CharactersWithSpaces>605</CharactersWithSpaces>
  <Application>WPS Office_12.1.0.29690_F1E327BC-269C-435d-A152-05C5408002CA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2017-01-10T09:34:00Z</dcterms:created>
  <dc:creator>USER</dc:creator>
  <dc:description>1</dc:description>
  <cp:keywords>长春理工大学教师教学发展中心</cp:keywords>
  <cp:lastModifiedBy>卢利平</cp:lastModifiedBy>
  <cp:lastPrinted>2024-11-21T09:06:00Z</cp:lastPrinted>
  <dcterms:modified xsi:type="dcterms:W3CDTF">2026-11-06T03:04:22Z</dcterms:modified>
  <dc:subject>长春理工大学教师教学发展中心</dc:subject>
  <cp:revision>219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2052-12.1.0.29690</vt:lpwstr>
  </property>
  <property fmtid="{D5CDD505-2E9C-101B-9397-08002B2CF9AE}" pid="3" name="ICV">
    <vt:lpwstr>28AC90D3BA2845A0804E61FFA2B8A122</vt:lpwstr>
  </property>
  <property fmtid="{D5CDD505-2E9C-101B-9397-08002B2CF9AE}" pid="4" name="KSOTemplateDocerSaveRecord">
    <vt:lpwstr>eyJoZGlkIjoiMjNlNTY2MmE4NDY1MDE1MWYxZjA2ZGQ2YzA0MDY3MTUiLCJ1c2VySWQiOiIxNTM2NTYwNDkzIn0=</vt:lpwstr>
  </property>
</Properties>
</file>